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EB" w:rsidRDefault="00640D99">
      <w:r>
        <w:rPr>
          <w:rStyle w:val="apple-converted-space"/>
          <w:rFonts w:ascii="Arial" w:hAnsi="Arial" w:cs="Arial"/>
          <w:color w:val="000000"/>
          <w:sz w:val="21"/>
          <w:szCs w:val="21"/>
          <w:shd w:val="clear" w:color="auto" w:fill="FFFFFF"/>
        </w:rPr>
        <w:t> </w:t>
      </w:r>
      <w:proofErr w:type="gramStart"/>
      <w:r>
        <w:rPr>
          <w:rFonts w:ascii="Arial" w:hAnsi="Arial" w:cs="Arial"/>
          <w:color w:val="000000"/>
          <w:sz w:val="21"/>
          <w:szCs w:val="21"/>
          <w:shd w:val="clear" w:color="auto" w:fill="FFFFFF"/>
        </w:rPr>
        <w:t>Bakanlar Kurulu, bu Kanunda öngörülen başvuru ve ilk taksit ödeme sürelerini bir aya kadar, yabancı ülkelerde de faaliyette bulunan vergi mükelleflerinden, Ekonomi Bakanlığı tarafından olağanüstü politik riskin 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mücbir sebep hâli ilan edilen yerlerdeki dairelere (alacaklı idarelere) mücbir sebep hâlinin vukuu tarihinden itibaren ödenmesi gereken taksitlerin ödeme süreleri, mücbir sebep hâlinin bitim tarihini takip eden aydan başlamak üzere topluca veya ayrı ayrı bir yıla kadar uzatmaya yetkilidir.</w:t>
      </w:r>
      <w:bookmarkStart w:id="0" w:name="_GoBack"/>
      <w:bookmarkEnd w:id="0"/>
      <w:proofErr w:type="gramEnd"/>
    </w:p>
    <w:sectPr w:rsidR="009C1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99"/>
    <w:rsid w:val="00640D99"/>
    <w:rsid w:val="009C1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40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4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2016-11-14T12:28:00Z</dcterms:created>
  <dcterms:modified xsi:type="dcterms:W3CDTF">2016-11-14T12:29:00Z</dcterms:modified>
</cp:coreProperties>
</file>